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2B11" w14:textId="71F6BFBB" w:rsidR="00A71128" w:rsidRPr="009D5AD0" w:rsidRDefault="000F2EE3" w:rsidP="00110EFA">
      <w:pPr>
        <w:spacing w:after="174"/>
        <w:ind w:left="10" w:right="2" w:hanging="10"/>
        <w:jc w:val="center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  <w:u w:val="single" w:color="000000"/>
        </w:rPr>
        <w:t>MiraLAX</w:t>
      </w:r>
      <w:r w:rsidR="005F3649" w:rsidRPr="009D5AD0">
        <w:rPr>
          <w:rFonts w:asciiTheme="minorHAnsi" w:eastAsia="Palatino Linotype" w:hAnsiTheme="minorHAnsi" w:cstheme="minorHAnsi"/>
          <w:b/>
          <w:u w:val="single" w:color="000000"/>
        </w:rPr>
        <w:t xml:space="preserve"> Colonoscopy Preparation</w:t>
      </w:r>
      <w:r w:rsidR="005F3649" w:rsidRPr="009D5AD0">
        <w:rPr>
          <w:rFonts w:asciiTheme="minorHAnsi" w:eastAsia="Palatino Linotype" w:hAnsiTheme="minorHAnsi" w:cstheme="minorHAnsi"/>
          <w:b/>
        </w:rPr>
        <w:t xml:space="preserve">  </w:t>
      </w:r>
    </w:p>
    <w:p w14:paraId="6AAC4D1C" w14:textId="0848D18B" w:rsidR="00110EFA" w:rsidRPr="009D5AD0" w:rsidRDefault="005F3649">
      <w:pPr>
        <w:spacing w:after="0" w:line="240" w:lineRule="auto"/>
        <w:rPr>
          <w:rFonts w:asciiTheme="minorHAnsi" w:eastAsia="Palatino Linotype" w:hAnsiTheme="minorHAnsi" w:cstheme="minorHAnsi"/>
          <w:i/>
        </w:rPr>
      </w:pPr>
      <w:r w:rsidRPr="009D5AD0">
        <w:rPr>
          <w:rFonts w:asciiTheme="minorHAnsi" w:eastAsia="Palatino Linotype" w:hAnsiTheme="minorHAnsi" w:cstheme="minorHAnsi"/>
          <w:b/>
          <w:i/>
          <w:highlight w:val="yellow"/>
        </w:rPr>
        <w:t>You must have someone available to drive you home after your colonoscopy.</w:t>
      </w:r>
      <w:r w:rsidR="0041234A" w:rsidRPr="009D5AD0">
        <w:rPr>
          <w:rFonts w:asciiTheme="minorHAnsi" w:eastAsia="Palatino Linotype" w:hAnsiTheme="minorHAnsi" w:cstheme="minorHAnsi"/>
          <w:b/>
          <w:i/>
          <w:highlight w:val="yellow"/>
        </w:rPr>
        <w:t xml:space="preserve"> If you do not have a driver, your exam may be cancelled / rescheduled</w:t>
      </w:r>
      <w:r w:rsidR="0041234A" w:rsidRPr="009D5AD0">
        <w:rPr>
          <w:rFonts w:asciiTheme="minorHAnsi" w:eastAsia="Palatino Linotype" w:hAnsiTheme="minorHAnsi" w:cstheme="minorHAnsi"/>
          <w:b/>
          <w:i/>
        </w:rPr>
        <w:t>.</w:t>
      </w:r>
      <w:r w:rsidR="0041234A" w:rsidRPr="009D5AD0">
        <w:rPr>
          <w:rFonts w:asciiTheme="minorHAnsi" w:eastAsia="Palatino Linotype" w:hAnsiTheme="minorHAnsi" w:cstheme="minorHAnsi"/>
          <w:i/>
        </w:rPr>
        <w:t xml:space="preserve"> </w:t>
      </w:r>
      <w:r w:rsidRPr="009D5AD0">
        <w:rPr>
          <w:rFonts w:asciiTheme="minorHAnsi" w:eastAsia="Palatino Linotype" w:hAnsiTheme="minorHAnsi" w:cstheme="minorHAnsi"/>
          <w:b/>
          <w:i/>
        </w:rPr>
        <w:t xml:space="preserve"> Plan</w:t>
      </w:r>
      <w:r w:rsidRPr="009D5AD0">
        <w:rPr>
          <w:rFonts w:asciiTheme="minorHAnsi" w:eastAsia="Palatino Linotype" w:hAnsiTheme="minorHAnsi" w:cstheme="minorHAnsi"/>
          <w:i/>
        </w:rPr>
        <w:t xml:space="preserve"> </w:t>
      </w:r>
      <w:r w:rsidRPr="009D5AD0">
        <w:rPr>
          <w:rFonts w:asciiTheme="minorHAnsi" w:eastAsia="Palatino Linotype" w:hAnsiTheme="minorHAnsi" w:cstheme="minorHAnsi"/>
          <w:b/>
          <w:i/>
        </w:rPr>
        <w:t>on spending 2 ½ to 3 hours at</w:t>
      </w:r>
      <w:r w:rsidRPr="009D5AD0">
        <w:rPr>
          <w:rFonts w:asciiTheme="minorHAnsi" w:eastAsia="Palatino Linotype" w:hAnsiTheme="minorHAnsi" w:cstheme="minorHAnsi"/>
          <w:i/>
        </w:rPr>
        <w:t xml:space="preserve"> </w:t>
      </w:r>
      <w:r w:rsidRPr="009D5AD0">
        <w:rPr>
          <w:rFonts w:asciiTheme="minorHAnsi" w:eastAsia="Palatino Linotype" w:hAnsiTheme="minorHAnsi" w:cstheme="minorHAnsi"/>
          <w:b/>
          <w:i/>
        </w:rPr>
        <w:t>the facility</w:t>
      </w:r>
      <w:r w:rsidRPr="009D5AD0">
        <w:rPr>
          <w:rFonts w:asciiTheme="minorHAnsi" w:eastAsia="Palatino Linotype" w:hAnsiTheme="minorHAnsi" w:cstheme="minorHAnsi"/>
          <w:i/>
        </w:rPr>
        <w:t xml:space="preserve">. </w:t>
      </w:r>
    </w:p>
    <w:p w14:paraId="6C9B64EF" w14:textId="77777777" w:rsidR="000B6DBA" w:rsidRPr="009D5AD0" w:rsidRDefault="000B6DBA">
      <w:pPr>
        <w:spacing w:after="0" w:line="240" w:lineRule="auto"/>
        <w:rPr>
          <w:rFonts w:asciiTheme="minorHAnsi" w:eastAsia="Palatino Linotype" w:hAnsiTheme="minorHAnsi" w:cstheme="minorHAnsi"/>
          <w:i/>
          <w:sz w:val="12"/>
          <w:szCs w:val="12"/>
        </w:rPr>
      </w:pPr>
    </w:p>
    <w:p w14:paraId="2058C34B" w14:textId="056D4445" w:rsidR="000B6DBA" w:rsidRPr="00307953" w:rsidRDefault="000B6DBA" w:rsidP="000B6DBA">
      <w:pPr>
        <w:spacing w:after="12" w:line="249" w:lineRule="auto"/>
        <w:jc w:val="center"/>
        <w:rPr>
          <w:rFonts w:asciiTheme="minorHAnsi" w:eastAsia="Palatino Linotype" w:hAnsiTheme="minorHAnsi" w:cstheme="minorHAnsi"/>
          <w:b/>
          <w:color w:val="FF0000"/>
          <w:sz w:val="24"/>
          <w:szCs w:val="24"/>
        </w:rPr>
      </w:pPr>
      <w:r w:rsidRPr="00307953">
        <w:rPr>
          <w:rFonts w:asciiTheme="minorHAnsi" w:eastAsia="Palatino Linotype" w:hAnsiTheme="minorHAnsi" w:cstheme="minorHAnsi"/>
          <w:b/>
          <w:color w:val="FF0000"/>
          <w:sz w:val="24"/>
          <w:szCs w:val="24"/>
        </w:rPr>
        <w:t xml:space="preserve">A nurse from the hospital will call with your procedure </w:t>
      </w:r>
      <w:r w:rsidR="001B2EAC" w:rsidRPr="00307953">
        <w:rPr>
          <w:rFonts w:asciiTheme="minorHAnsi" w:eastAsia="Palatino Linotype" w:hAnsiTheme="minorHAnsi" w:cstheme="minorHAnsi"/>
          <w:b/>
          <w:color w:val="FF0000"/>
          <w:sz w:val="24"/>
          <w:szCs w:val="24"/>
        </w:rPr>
        <w:t>check-in time</w:t>
      </w:r>
      <w:r w:rsidRPr="00307953">
        <w:rPr>
          <w:rFonts w:asciiTheme="minorHAnsi" w:eastAsia="Palatino Linotype" w:hAnsiTheme="minorHAnsi" w:cstheme="minorHAnsi"/>
          <w:b/>
          <w:color w:val="FF0000"/>
          <w:sz w:val="24"/>
          <w:szCs w:val="24"/>
        </w:rPr>
        <w:t xml:space="preserve"> 3-5 days prior to your procedure.</w:t>
      </w:r>
    </w:p>
    <w:p w14:paraId="63AED8A9" w14:textId="77777777" w:rsidR="00110EFA" w:rsidRPr="009D5AD0" w:rsidRDefault="00110EFA">
      <w:pPr>
        <w:spacing w:after="0" w:line="240" w:lineRule="auto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p w14:paraId="41F7A6AC" w14:textId="45BAC4B4" w:rsidR="00114754" w:rsidRPr="009D5AD0" w:rsidRDefault="005F3649" w:rsidP="00110EFA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9D5AD0">
        <w:rPr>
          <w:rFonts w:asciiTheme="minorHAnsi" w:eastAsia="Palatino Linotype" w:hAnsiTheme="minorHAnsi" w:cstheme="minorHAnsi"/>
          <w:b/>
        </w:rPr>
        <w:t>Your colonoscopy is scheduled on _____________</w:t>
      </w:r>
      <w:r w:rsidR="00110EFA" w:rsidRPr="009D5AD0">
        <w:rPr>
          <w:rFonts w:asciiTheme="minorHAnsi" w:eastAsia="Palatino Linotype" w:hAnsiTheme="minorHAnsi" w:cstheme="minorHAnsi"/>
          <w:b/>
        </w:rPr>
        <w:t xml:space="preserve"> </w:t>
      </w:r>
      <w:r w:rsidRPr="009D5AD0">
        <w:rPr>
          <w:rFonts w:asciiTheme="minorHAnsi" w:eastAsia="Palatino Linotype" w:hAnsiTheme="minorHAnsi" w:cstheme="minorHAnsi"/>
          <w:b/>
        </w:rPr>
        <w:t xml:space="preserve">Location:  </w:t>
      </w:r>
      <w:r w:rsidR="00793453" w:rsidRPr="00A86B68">
        <w:rPr>
          <w:rFonts w:asciiTheme="minorHAnsi" w:eastAsia="Palatino Linotype" w:hAnsiTheme="minorHAnsi" w:cstheme="minorHAnsi"/>
          <w:b/>
          <w:u w:val="single"/>
        </w:rPr>
        <w:t>Copper Queen Hospital in Bisbee</w:t>
      </w:r>
      <w:r w:rsidR="00793453" w:rsidRPr="009D5AD0">
        <w:rPr>
          <w:rFonts w:asciiTheme="minorHAnsi" w:eastAsia="Palatino Linotype" w:hAnsiTheme="minorHAnsi" w:cstheme="minorHAnsi"/>
          <w:b/>
          <w:u w:val="single"/>
        </w:rPr>
        <w:t xml:space="preserve"> </w:t>
      </w:r>
      <w:r w:rsidRPr="009D5AD0">
        <w:rPr>
          <w:rFonts w:asciiTheme="minorHAnsi" w:eastAsia="Palatino Linotype" w:hAnsiTheme="minorHAnsi" w:cstheme="minorHAnsi"/>
          <w:b/>
        </w:rPr>
        <w:t xml:space="preserve">       </w:t>
      </w:r>
    </w:p>
    <w:p w14:paraId="71F1BAA9" w14:textId="77777777" w:rsidR="00110EFA" w:rsidRPr="009D5AD0" w:rsidRDefault="00110EFA" w:rsidP="00114754">
      <w:pPr>
        <w:spacing w:after="12" w:line="249" w:lineRule="auto"/>
        <w:jc w:val="center"/>
        <w:rPr>
          <w:rFonts w:asciiTheme="minorHAnsi" w:hAnsiTheme="minorHAnsi" w:cstheme="minorHAnsi"/>
          <w:b/>
          <w:color w:val="FF0000"/>
          <w:sz w:val="12"/>
          <w:szCs w:val="12"/>
        </w:rPr>
      </w:pPr>
    </w:p>
    <w:p w14:paraId="2190AA19" w14:textId="0DD8D007" w:rsidR="00A71128" w:rsidRDefault="005B158E" w:rsidP="005B158E">
      <w:pPr>
        <w:spacing w:after="10" w:line="249" w:lineRule="auto"/>
        <w:ind w:left="-5" w:hanging="10"/>
        <w:rPr>
          <w:rFonts w:asciiTheme="minorHAnsi" w:eastAsia="Palatino Linotype" w:hAnsiTheme="minorHAnsi" w:cstheme="minorHAnsi"/>
          <w:b/>
          <w:u w:val="single" w:color="000000"/>
        </w:rPr>
      </w:pPr>
      <w:r>
        <w:rPr>
          <w:rFonts w:asciiTheme="minorHAnsi" w:eastAsia="Palatino Linotype" w:hAnsiTheme="minorHAnsi" w:cstheme="minorHAnsi"/>
          <w:b/>
          <w:color w:val="FF0000"/>
          <w:u w:val="single" w:color="000000"/>
        </w:rPr>
        <w:t xml:space="preserve">FIVE DAYS PRIOR TO PROCEDURE </w:t>
      </w:r>
      <w:r w:rsidR="005F3649" w:rsidRPr="009D5AD0">
        <w:rPr>
          <w:rFonts w:asciiTheme="minorHAnsi" w:eastAsia="Palatino Linotype" w:hAnsiTheme="minorHAnsi" w:cstheme="minorHAnsi"/>
          <w:b/>
          <w:color w:val="FF0000"/>
          <w:u w:val="single" w:color="000000"/>
        </w:rPr>
        <w:t>STOP TAKING THE FOLLOWING</w:t>
      </w:r>
      <w:r w:rsidR="005F3649" w:rsidRPr="009D5AD0">
        <w:rPr>
          <w:rFonts w:asciiTheme="minorHAnsi" w:eastAsia="Palatino Linotype" w:hAnsiTheme="minorHAnsi" w:cstheme="minorHAnsi"/>
          <w:b/>
          <w:u w:val="single" w:color="000000"/>
        </w:rPr>
        <w:t>:  Fish Oil, Vitamin C, Vitamin E, St. John’s Wort), or NSAIDS (such as</w:t>
      </w:r>
      <w:r w:rsidR="005F3649" w:rsidRPr="009D5AD0">
        <w:rPr>
          <w:rFonts w:asciiTheme="minorHAnsi" w:eastAsia="Palatino Linotype" w:hAnsiTheme="minorHAnsi" w:cstheme="minorHAnsi"/>
          <w:b/>
        </w:rPr>
        <w:t xml:space="preserve"> </w:t>
      </w:r>
      <w:r w:rsidR="005F3649" w:rsidRPr="009D5AD0">
        <w:rPr>
          <w:rFonts w:asciiTheme="minorHAnsi" w:eastAsia="Palatino Linotype" w:hAnsiTheme="minorHAnsi" w:cstheme="minorHAnsi"/>
          <w:b/>
          <w:u w:val="single" w:color="000000"/>
        </w:rPr>
        <w:t>Ibuprofen, Aleve, Naproxen, Alka Seltzer, Excedrin)</w:t>
      </w:r>
    </w:p>
    <w:p w14:paraId="51B14F0B" w14:textId="77777777" w:rsidR="005B158E" w:rsidRPr="009D5AD0" w:rsidRDefault="005B158E" w:rsidP="005B158E">
      <w:pPr>
        <w:spacing w:after="10" w:line="249" w:lineRule="auto"/>
        <w:ind w:left="-5" w:hanging="10"/>
        <w:rPr>
          <w:rFonts w:asciiTheme="minorHAnsi" w:hAnsiTheme="minorHAnsi" w:cstheme="minorHAnsi"/>
        </w:rPr>
      </w:pPr>
    </w:p>
    <w:p w14:paraId="45DA5779" w14:textId="5B9B6BF8" w:rsidR="00A71128" w:rsidRPr="009D5AD0" w:rsidRDefault="005F3649">
      <w:pPr>
        <w:numPr>
          <w:ilvl w:val="0"/>
          <w:numId w:val="1"/>
        </w:numPr>
        <w:spacing w:after="11" w:line="249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  <w:u w:val="single" w:color="000000"/>
        </w:rPr>
        <w:t>If you are on blood thinners such as Plavix, Aspirin 325mg, Coumadin, Warfarin, Pradaxa,</w:t>
      </w:r>
      <w:r w:rsidR="0068402C">
        <w:rPr>
          <w:rFonts w:asciiTheme="minorHAnsi" w:eastAsia="Palatino Linotype" w:hAnsiTheme="minorHAnsi" w:cstheme="minorHAnsi"/>
          <w:b/>
          <w:u w:val="single" w:color="000000"/>
        </w:rPr>
        <w:t xml:space="preserve"> </w:t>
      </w:r>
      <w:r w:rsidRPr="009D5AD0">
        <w:rPr>
          <w:rFonts w:asciiTheme="minorHAnsi" w:eastAsia="Palatino Linotype" w:hAnsiTheme="minorHAnsi" w:cstheme="minorHAnsi"/>
          <w:b/>
          <w:u w:val="single" w:color="000000"/>
        </w:rPr>
        <w:t>Xarelto</w:t>
      </w:r>
      <w:r w:rsidR="0068402C">
        <w:rPr>
          <w:rFonts w:asciiTheme="minorHAnsi" w:eastAsia="Palatino Linotype" w:hAnsiTheme="minorHAnsi" w:cstheme="minorHAnsi"/>
          <w:b/>
        </w:rPr>
        <w:t xml:space="preserve">, </w:t>
      </w:r>
      <w:proofErr w:type="spellStart"/>
      <w:r w:rsidRPr="009D5AD0">
        <w:rPr>
          <w:rFonts w:asciiTheme="minorHAnsi" w:eastAsia="Palatino Linotype" w:hAnsiTheme="minorHAnsi" w:cstheme="minorHAnsi"/>
          <w:b/>
          <w:u w:val="single" w:color="000000"/>
        </w:rPr>
        <w:t>Effient</w:t>
      </w:r>
      <w:proofErr w:type="spellEnd"/>
      <w:r w:rsidRPr="009D5AD0">
        <w:rPr>
          <w:rFonts w:asciiTheme="minorHAnsi" w:eastAsia="Palatino Linotype" w:hAnsiTheme="minorHAnsi" w:cstheme="minorHAnsi"/>
          <w:b/>
          <w:u w:val="single" w:color="000000"/>
        </w:rPr>
        <w:t xml:space="preserve"> </w:t>
      </w:r>
      <w:r w:rsidR="00A810CA">
        <w:rPr>
          <w:rFonts w:asciiTheme="minorHAnsi" w:eastAsia="Palatino Linotype" w:hAnsiTheme="minorHAnsi" w:cstheme="minorHAnsi"/>
          <w:b/>
          <w:u w:val="single" w:color="000000"/>
        </w:rPr>
        <w:t>MEDICAL STAFF WILL ADVISE WHEN TO DISCONTINUE</w:t>
      </w:r>
    </w:p>
    <w:p w14:paraId="645AA75A" w14:textId="4112D158" w:rsidR="00A71128" w:rsidRPr="009D5AD0" w:rsidRDefault="005F3649">
      <w:pPr>
        <w:numPr>
          <w:ilvl w:val="0"/>
          <w:numId w:val="1"/>
        </w:numPr>
        <w:spacing w:after="12" w:line="249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</w:rPr>
        <w:t xml:space="preserve">Do not eat seeds, </w:t>
      </w:r>
      <w:r w:rsidR="00675521" w:rsidRPr="009D5AD0">
        <w:rPr>
          <w:rFonts w:asciiTheme="minorHAnsi" w:eastAsia="Palatino Linotype" w:hAnsiTheme="minorHAnsi" w:cstheme="minorHAnsi"/>
          <w:b/>
        </w:rPr>
        <w:t>nuts,</w:t>
      </w:r>
      <w:r w:rsidRPr="009D5AD0">
        <w:rPr>
          <w:rFonts w:asciiTheme="minorHAnsi" w:eastAsia="Palatino Linotype" w:hAnsiTheme="minorHAnsi" w:cstheme="minorHAnsi"/>
          <w:b/>
        </w:rPr>
        <w:t xml:space="preserve"> </w:t>
      </w:r>
      <w:r w:rsidR="00675521">
        <w:rPr>
          <w:rFonts w:asciiTheme="minorHAnsi" w:eastAsia="Palatino Linotype" w:hAnsiTheme="minorHAnsi" w:cstheme="minorHAnsi"/>
          <w:b/>
        </w:rPr>
        <w:t>and</w:t>
      </w:r>
      <w:r w:rsidRPr="009D5AD0">
        <w:rPr>
          <w:rFonts w:asciiTheme="minorHAnsi" w:eastAsia="Palatino Linotype" w:hAnsiTheme="minorHAnsi" w:cstheme="minorHAnsi"/>
          <w:b/>
        </w:rPr>
        <w:t xml:space="preserve"> popcorn for 5 days prior to colonoscopy. </w:t>
      </w:r>
    </w:p>
    <w:p w14:paraId="04D32534" w14:textId="01E06110" w:rsidR="00A71128" w:rsidRPr="009D5AD0" w:rsidRDefault="005F3649">
      <w:pPr>
        <w:numPr>
          <w:ilvl w:val="0"/>
          <w:numId w:val="1"/>
        </w:numPr>
        <w:spacing w:after="12" w:line="249" w:lineRule="auto"/>
        <w:ind w:hanging="370"/>
        <w:rPr>
          <w:rFonts w:asciiTheme="minorHAnsi" w:hAnsiTheme="minorHAnsi" w:cstheme="minorHAnsi"/>
          <w:highlight w:val="yellow"/>
        </w:rPr>
      </w:pPr>
      <w:r w:rsidRPr="009D5AD0">
        <w:rPr>
          <w:rFonts w:asciiTheme="minorHAnsi" w:eastAsia="Palatino Linotype" w:hAnsiTheme="minorHAnsi" w:cstheme="minorHAnsi"/>
          <w:highlight w:val="yellow"/>
        </w:rPr>
        <w:t xml:space="preserve">Purchase </w:t>
      </w:r>
      <w:r w:rsidRPr="009D5AD0">
        <w:rPr>
          <w:rFonts w:asciiTheme="minorHAnsi" w:eastAsia="Palatino Linotype" w:hAnsiTheme="minorHAnsi" w:cstheme="minorHAnsi"/>
          <w:b/>
          <w:highlight w:val="yellow"/>
        </w:rPr>
        <w:t>Mira</w:t>
      </w:r>
      <w:r w:rsidR="009D5AD0">
        <w:rPr>
          <w:rFonts w:asciiTheme="minorHAnsi" w:eastAsia="Palatino Linotype" w:hAnsiTheme="minorHAnsi" w:cstheme="minorHAnsi"/>
          <w:b/>
          <w:highlight w:val="yellow"/>
        </w:rPr>
        <w:t>LAX</w:t>
      </w:r>
      <w:r w:rsidRPr="009D5AD0">
        <w:rPr>
          <w:rFonts w:asciiTheme="minorHAnsi" w:eastAsia="Palatino Linotype" w:hAnsiTheme="minorHAnsi" w:cstheme="minorHAnsi"/>
          <w:b/>
          <w:highlight w:val="yellow"/>
        </w:rPr>
        <w:t xml:space="preserve"> </w:t>
      </w:r>
      <w:r w:rsidRPr="009D5AD0">
        <w:rPr>
          <w:rFonts w:asciiTheme="minorHAnsi" w:eastAsia="Palatino Linotype" w:hAnsiTheme="minorHAnsi" w:cstheme="minorHAnsi"/>
          <w:highlight w:val="yellow"/>
        </w:rPr>
        <w:t>powder (</w:t>
      </w:r>
      <w:r w:rsidR="00944B90" w:rsidRPr="009D5AD0">
        <w:rPr>
          <w:rFonts w:asciiTheme="minorHAnsi" w:eastAsia="Palatino Linotype" w:hAnsiTheme="minorHAnsi" w:cstheme="minorHAnsi"/>
          <w:b/>
          <w:highlight w:val="yellow"/>
        </w:rPr>
        <w:t>238-gram</w:t>
      </w:r>
      <w:r w:rsidRPr="009D5AD0">
        <w:rPr>
          <w:rFonts w:asciiTheme="minorHAnsi" w:eastAsia="Palatino Linotype" w:hAnsiTheme="minorHAnsi" w:cstheme="minorHAnsi"/>
          <w:b/>
          <w:highlight w:val="yellow"/>
        </w:rPr>
        <w:t xml:space="preserve"> bottle</w:t>
      </w:r>
      <w:r w:rsidRPr="009D5AD0">
        <w:rPr>
          <w:rFonts w:asciiTheme="minorHAnsi" w:eastAsia="Palatino Linotype" w:hAnsiTheme="minorHAnsi" w:cstheme="minorHAnsi"/>
          <w:highlight w:val="yellow"/>
        </w:rPr>
        <w:t xml:space="preserve">) and </w:t>
      </w:r>
      <w:r w:rsidRPr="009D5AD0">
        <w:rPr>
          <w:rFonts w:asciiTheme="minorHAnsi" w:eastAsia="Palatino Linotype" w:hAnsiTheme="minorHAnsi" w:cstheme="minorHAnsi"/>
          <w:b/>
          <w:highlight w:val="yellow"/>
        </w:rPr>
        <w:t>Dulcolax</w:t>
      </w:r>
      <w:r w:rsidR="00E850D8">
        <w:rPr>
          <w:rFonts w:asciiTheme="minorHAnsi" w:eastAsia="Palatino Linotype" w:hAnsiTheme="minorHAnsi" w:cstheme="minorHAnsi"/>
          <w:b/>
          <w:highlight w:val="yellow"/>
        </w:rPr>
        <w:t xml:space="preserve"> Laxative</w:t>
      </w:r>
      <w:r w:rsidRPr="009D5AD0">
        <w:rPr>
          <w:rFonts w:asciiTheme="minorHAnsi" w:eastAsia="Palatino Linotype" w:hAnsiTheme="minorHAnsi" w:cstheme="minorHAnsi"/>
          <w:b/>
          <w:highlight w:val="yellow"/>
        </w:rPr>
        <w:t xml:space="preserve"> (5mg tablets)</w:t>
      </w:r>
      <w:r w:rsidRPr="009D5AD0">
        <w:rPr>
          <w:rFonts w:asciiTheme="minorHAnsi" w:eastAsia="Palatino Linotype" w:hAnsiTheme="minorHAnsi" w:cstheme="minorHAnsi"/>
          <w:highlight w:val="yellow"/>
        </w:rPr>
        <w:t xml:space="preserve"> </w:t>
      </w:r>
      <w:r w:rsidRPr="009D5AD0">
        <w:rPr>
          <w:rFonts w:asciiTheme="minorHAnsi" w:eastAsia="Palatino Linotype" w:hAnsiTheme="minorHAnsi" w:cstheme="minorHAnsi"/>
          <w:b/>
          <w:highlight w:val="yellow"/>
          <w:u w:val="single" w:color="000000"/>
        </w:rPr>
        <w:t>Generic brands are OK</w:t>
      </w:r>
      <w:r w:rsidRPr="009D5AD0">
        <w:rPr>
          <w:rFonts w:asciiTheme="minorHAnsi" w:eastAsia="Palatino Linotype" w:hAnsiTheme="minorHAnsi" w:cstheme="minorHAnsi"/>
          <w:highlight w:val="yellow"/>
        </w:rPr>
        <w:t xml:space="preserve">. </w:t>
      </w:r>
    </w:p>
    <w:p w14:paraId="3346F8E2" w14:textId="2C1A0D7C" w:rsidR="00A71128" w:rsidRPr="009D5AD0" w:rsidRDefault="005F3649" w:rsidP="00110EFA">
      <w:pPr>
        <w:numPr>
          <w:ilvl w:val="0"/>
          <w:numId w:val="1"/>
        </w:numPr>
        <w:spacing w:after="188" w:line="249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</w:rPr>
        <w:t>Purchase at least 64 ounces of a clear liquid beverage to mix with the Mira</w:t>
      </w:r>
      <w:r w:rsidR="009D5AD0">
        <w:rPr>
          <w:rFonts w:asciiTheme="minorHAnsi" w:eastAsia="Palatino Linotype" w:hAnsiTheme="minorHAnsi" w:cstheme="minorHAnsi"/>
        </w:rPr>
        <w:t>LAX</w:t>
      </w:r>
      <w:r w:rsidRPr="009D5AD0">
        <w:rPr>
          <w:rFonts w:asciiTheme="minorHAnsi" w:eastAsia="Palatino Linotype" w:hAnsiTheme="minorHAnsi" w:cstheme="minorHAnsi"/>
        </w:rPr>
        <w:t xml:space="preserve"> powder. We prefer that you use a “sports drink”, such as Gatorade G2 or Propel water, due to its electrolyte content. </w:t>
      </w:r>
      <w:r w:rsidRPr="009D5AD0">
        <w:rPr>
          <w:rFonts w:asciiTheme="minorHAnsi" w:eastAsia="Palatino Linotype" w:hAnsiTheme="minorHAnsi" w:cstheme="minorHAnsi"/>
          <w:b/>
        </w:rPr>
        <w:t>Avoid liquids that are</w:t>
      </w:r>
      <w:r w:rsidRPr="009D5AD0">
        <w:rPr>
          <w:rFonts w:asciiTheme="minorHAnsi" w:eastAsia="Palatino Linotype" w:hAnsiTheme="minorHAnsi" w:cstheme="minorHAnsi"/>
          <w:b/>
          <w:color w:val="FF0000"/>
        </w:rPr>
        <w:t xml:space="preserve"> red </w:t>
      </w:r>
      <w:r w:rsidRPr="009D5AD0">
        <w:rPr>
          <w:rFonts w:asciiTheme="minorHAnsi" w:eastAsia="Palatino Linotype" w:hAnsiTheme="minorHAnsi" w:cstheme="minorHAnsi"/>
          <w:b/>
        </w:rPr>
        <w:t xml:space="preserve">or </w:t>
      </w:r>
      <w:r w:rsidRPr="009D5AD0">
        <w:rPr>
          <w:rFonts w:asciiTheme="minorHAnsi" w:eastAsia="Palatino Linotype" w:hAnsiTheme="minorHAnsi" w:cstheme="minorHAnsi"/>
          <w:b/>
          <w:color w:val="7030A0"/>
        </w:rPr>
        <w:t>purple</w:t>
      </w:r>
      <w:r w:rsidRPr="009D5AD0">
        <w:rPr>
          <w:rFonts w:asciiTheme="minorHAnsi" w:eastAsia="Palatino Linotype" w:hAnsiTheme="minorHAnsi" w:cstheme="minorHAnsi"/>
          <w:b/>
        </w:rPr>
        <w:t xml:space="preserve"> in color</w:t>
      </w:r>
      <w:r w:rsidRPr="009D5AD0">
        <w:rPr>
          <w:rFonts w:asciiTheme="minorHAnsi" w:eastAsia="Palatino Linotype" w:hAnsiTheme="minorHAnsi" w:cstheme="minorHAnsi"/>
        </w:rPr>
        <w:t xml:space="preserve">. </w:t>
      </w:r>
    </w:p>
    <w:p w14:paraId="44C6CA65" w14:textId="71778A03" w:rsidR="00A71128" w:rsidRPr="00307953" w:rsidRDefault="005F3649" w:rsidP="004762F8">
      <w:pPr>
        <w:spacing w:after="0" w:line="240" w:lineRule="auto"/>
        <w:ind w:left="-5" w:hanging="1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07953">
        <w:rPr>
          <w:rFonts w:asciiTheme="minorHAnsi" w:eastAsia="Palatino Linotype" w:hAnsiTheme="minorHAnsi" w:cstheme="minorHAnsi"/>
          <w:b/>
          <w:sz w:val="24"/>
          <w:szCs w:val="24"/>
          <w:highlight w:val="yellow"/>
          <w:u w:val="single" w:color="000000"/>
        </w:rPr>
        <w:t>DAY BEFORE COLONOSCOPY</w:t>
      </w:r>
      <w:r w:rsidR="00F60B2E" w:rsidRPr="00307953">
        <w:rPr>
          <w:rFonts w:asciiTheme="minorHAnsi" w:eastAsia="Palatino Linotype" w:hAnsiTheme="minorHAnsi" w:cstheme="minorHAnsi"/>
          <w:b/>
          <w:sz w:val="24"/>
          <w:szCs w:val="24"/>
          <w:highlight w:val="yellow"/>
          <w:u w:val="single"/>
        </w:rPr>
        <w:t xml:space="preserve"> </w:t>
      </w:r>
    </w:p>
    <w:p w14:paraId="194F6BCC" w14:textId="3D473E51" w:rsidR="00F60B2E" w:rsidRPr="009D5AD0" w:rsidRDefault="00F60B2E" w:rsidP="00F60B2E">
      <w:pPr>
        <w:numPr>
          <w:ilvl w:val="0"/>
          <w:numId w:val="1"/>
        </w:numPr>
        <w:spacing w:after="0" w:line="240" w:lineRule="auto"/>
        <w:ind w:hanging="370"/>
        <w:rPr>
          <w:rFonts w:asciiTheme="minorHAnsi" w:hAnsiTheme="minorHAnsi" w:cstheme="minorHAnsi"/>
        </w:rPr>
      </w:pPr>
      <w:r w:rsidRPr="00A86B68">
        <w:rPr>
          <w:rFonts w:asciiTheme="minorHAnsi" w:eastAsia="Palatino Linotype" w:hAnsiTheme="minorHAnsi" w:cstheme="minorHAnsi"/>
          <w:b/>
          <w:color w:val="FF0000"/>
          <w:highlight w:val="yellow"/>
          <w:u w:val="single"/>
        </w:rPr>
        <w:t>DRINK CLEAR LIQUIDS ONLY</w:t>
      </w:r>
      <w:r w:rsidRPr="00A86B68">
        <w:rPr>
          <w:rFonts w:asciiTheme="minorHAnsi" w:eastAsia="Palatino Linotype" w:hAnsiTheme="minorHAnsi" w:cstheme="minorHAnsi"/>
          <w:color w:val="FF0000"/>
          <w:highlight w:val="yellow"/>
          <w:u w:val="single"/>
        </w:rPr>
        <w:t xml:space="preserve">. </w:t>
      </w:r>
      <w:r w:rsidRPr="00A86B68">
        <w:rPr>
          <w:rFonts w:asciiTheme="minorHAnsi" w:eastAsia="Palatino Linotype" w:hAnsiTheme="minorHAnsi" w:cstheme="minorHAnsi"/>
          <w:b/>
          <w:color w:val="FF0000"/>
          <w:highlight w:val="yellow"/>
          <w:u w:val="single"/>
        </w:rPr>
        <w:t>DO NOT EAT SOLID FOODS</w:t>
      </w:r>
      <w:r w:rsidRPr="009D5AD0">
        <w:rPr>
          <w:rFonts w:asciiTheme="minorHAnsi" w:eastAsia="Palatino Linotype" w:hAnsiTheme="minorHAnsi" w:cstheme="minorHAnsi"/>
        </w:rPr>
        <w:t xml:space="preserve">. Clear liquids such as Gatorade, Crystal Light, broth, </w:t>
      </w:r>
      <w:r w:rsidR="00B56E87" w:rsidRPr="009D5AD0">
        <w:rPr>
          <w:rFonts w:asciiTheme="minorHAnsi" w:eastAsia="Palatino Linotype" w:hAnsiTheme="minorHAnsi" w:cstheme="minorHAnsi"/>
        </w:rPr>
        <w:t>Jell-O</w:t>
      </w:r>
      <w:r w:rsidRPr="009D5AD0">
        <w:rPr>
          <w:rFonts w:asciiTheme="minorHAnsi" w:eastAsia="Palatino Linotype" w:hAnsiTheme="minorHAnsi" w:cstheme="minorHAnsi"/>
        </w:rPr>
        <w:t xml:space="preserve">, coffee without creamer, soft drinks, or apple juice. </w:t>
      </w:r>
      <w:r w:rsidRPr="009D5AD0">
        <w:rPr>
          <w:rFonts w:asciiTheme="minorHAnsi" w:eastAsia="Palatino Linotype" w:hAnsiTheme="minorHAnsi" w:cstheme="minorHAnsi"/>
          <w:b/>
        </w:rPr>
        <w:t xml:space="preserve">Avoid alcohol. Avoid liquids that are </w:t>
      </w:r>
      <w:r w:rsidRPr="009D5AD0">
        <w:rPr>
          <w:rFonts w:asciiTheme="minorHAnsi" w:eastAsia="Palatino Linotype" w:hAnsiTheme="minorHAnsi" w:cstheme="minorHAnsi"/>
          <w:b/>
          <w:color w:val="FF0000"/>
        </w:rPr>
        <w:t>red</w:t>
      </w:r>
      <w:r w:rsidRPr="009D5AD0">
        <w:rPr>
          <w:rFonts w:asciiTheme="minorHAnsi" w:eastAsia="Palatino Linotype" w:hAnsiTheme="minorHAnsi" w:cstheme="minorHAnsi"/>
          <w:b/>
        </w:rPr>
        <w:t xml:space="preserve"> or </w:t>
      </w:r>
      <w:r w:rsidRPr="009D5AD0">
        <w:rPr>
          <w:rFonts w:asciiTheme="minorHAnsi" w:eastAsia="Palatino Linotype" w:hAnsiTheme="minorHAnsi" w:cstheme="minorHAnsi"/>
          <w:b/>
          <w:color w:val="7030A0"/>
        </w:rPr>
        <w:t>purple</w:t>
      </w:r>
      <w:r w:rsidRPr="009D5AD0">
        <w:rPr>
          <w:rFonts w:asciiTheme="minorHAnsi" w:eastAsia="Palatino Linotype" w:hAnsiTheme="minorHAnsi" w:cstheme="minorHAnsi"/>
          <w:b/>
        </w:rPr>
        <w:t xml:space="preserve"> in color</w:t>
      </w:r>
      <w:r w:rsidRPr="009D5AD0">
        <w:rPr>
          <w:rFonts w:asciiTheme="minorHAnsi" w:eastAsia="Palatino Linotype" w:hAnsiTheme="minorHAnsi" w:cstheme="minorHAnsi"/>
        </w:rPr>
        <w:t xml:space="preserve">. Drink as much clear liquid as you can </w:t>
      </w:r>
      <w:r w:rsidR="00904CA7" w:rsidRPr="009D5AD0">
        <w:rPr>
          <w:rFonts w:asciiTheme="minorHAnsi" w:eastAsia="Palatino Linotype" w:hAnsiTheme="minorHAnsi" w:cstheme="minorHAnsi"/>
        </w:rPr>
        <w:t>tolerate,</w:t>
      </w:r>
      <w:r w:rsidRPr="009D5AD0">
        <w:rPr>
          <w:rFonts w:asciiTheme="minorHAnsi" w:eastAsia="Palatino Linotype" w:hAnsiTheme="minorHAnsi" w:cstheme="minorHAnsi"/>
        </w:rPr>
        <w:t xml:space="preserve"> especially with electrolytes. This will prevent dehydration and improve the quality of the colon preparation (by flushing the stool from the colon). A complete colonoscopy cannot be performed on an unclean colon. </w:t>
      </w:r>
    </w:p>
    <w:p w14:paraId="16E72231" w14:textId="77777777" w:rsidR="00A71128" w:rsidRPr="009D5AD0" w:rsidRDefault="005F3649" w:rsidP="004762F8">
      <w:pPr>
        <w:numPr>
          <w:ilvl w:val="0"/>
          <w:numId w:val="1"/>
        </w:numPr>
        <w:spacing w:after="0" w:line="240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</w:rPr>
        <w:t xml:space="preserve">You may take your regular medications, unless otherwise directed. </w:t>
      </w:r>
      <w:r w:rsidRPr="009D5AD0">
        <w:rPr>
          <w:rFonts w:asciiTheme="minorHAnsi" w:eastAsia="Palatino Linotype" w:hAnsiTheme="minorHAnsi" w:cstheme="minorHAnsi"/>
          <w:b/>
        </w:rPr>
        <w:t xml:space="preserve">HOLD DIURECTICS. If on Insulin HOLD on BOTH PREP days unless your blood sugar is greater than 300.  </w:t>
      </w:r>
    </w:p>
    <w:p w14:paraId="3C17644E" w14:textId="06FE256E" w:rsidR="00A71128" w:rsidRPr="009D5AD0" w:rsidRDefault="005F3649" w:rsidP="004762F8">
      <w:pPr>
        <w:numPr>
          <w:ilvl w:val="0"/>
          <w:numId w:val="1"/>
        </w:numPr>
        <w:spacing w:after="0" w:line="240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</w:rPr>
        <w:t xml:space="preserve">At </w:t>
      </w:r>
      <w:r w:rsidR="001C3396">
        <w:rPr>
          <w:rFonts w:asciiTheme="minorHAnsi" w:eastAsia="Palatino Linotype" w:hAnsiTheme="minorHAnsi" w:cstheme="minorHAnsi"/>
          <w:b/>
        </w:rPr>
        <w:t>noon</w:t>
      </w:r>
      <w:r w:rsidRPr="009D5AD0">
        <w:rPr>
          <w:rFonts w:asciiTheme="minorHAnsi" w:eastAsia="Palatino Linotype" w:hAnsiTheme="minorHAnsi" w:cstheme="minorHAnsi"/>
          <w:b/>
        </w:rPr>
        <w:t xml:space="preserve">., take </w:t>
      </w:r>
      <w:r w:rsidR="0033040F">
        <w:rPr>
          <w:rFonts w:asciiTheme="minorHAnsi" w:eastAsia="Palatino Linotype" w:hAnsiTheme="minorHAnsi" w:cstheme="minorHAnsi"/>
          <w:b/>
        </w:rPr>
        <w:t>3</w:t>
      </w:r>
      <w:r w:rsidRPr="009D5AD0">
        <w:rPr>
          <w:rFonts w:asciiTheme="minorHAnsi" w:eastAsia="Palatino Linotype" w:hAnsiTheme="minorHAnsi" w:cstheme="minorHAnsi"/>
          <w:b/>
        </w:rPr>
        <w:t xml:space="preserve"> Dulcolax (bisacodyl) tablets. </w:t>
      </w:r>
      <w:r w:rsidRPr="009D5AD0">
        <w:rPr>
          <w:rFonts w:asciiTheme="minorHAnsi" w:eastAsia="Palatino Linotype" w:hAnsiTheme="minorHAnsi" w:cstheme="minorHAnsi"/>
        </w:rPr>
        <w:t xml:space="preserve"> </w:t>
      </w:r>
    </w:p>
    <w:p w14:paraId="14DAC4DB" w14:textId="77777777" w:rsidR="00B66260" w:rsidRPr="00B66260" w:rsidRDefault="005F3649" w:rsidP="004762F8">
      <w:pPr>
        <w:numPr>
          <w:ilvl w:val="0"/>
          <w:numId w:val="1"/>
        </w:numPr>
        <w:spacing w:after="0" w:line="240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</w:rPr>
        <w:t xml:space="preserve">At 5 p.m., mix the </w:t>
      </w:r>
      <w:r w:rsidR="00497EDF" w:rsidRPr="009D5AD0">
        <w:rPr>
          <w:rFonts w:asciiTheme="minorHAnsi" w:eastAsia="Palatino Linotype" w:hAnsiTheme="minorHAnsi" w:cstheme="minorHAnsi"/>
          <w:b/>
        </w:rPr>
        <w:t>238-gram</w:t>
      </w:r>
      <w:r w:rsidRPr="009D5AD0">
        <w:rPr>
          <w:rFonts w:asciiTheme="minorHAnsi" w:eastAsia="Palatino Linotype" w:hAnsiTheme="minorHAnsi" w:cstheme="minorHAnsi"/>
          <w:b/>
        </w:rPr>
        <w:t xml:space="preserve"> bottle of </w:t>
      </w:r>
      <w:r w:rsidR="005B7532" w:rsidRPr="009D5AD0">
        <w:rPr>
          <w:rFonts w:asciiTheme="minorHAnsi" w:eastAsia="Palatino Linotype" w:hAnsiTheme="minorHAnsi" w:cstheme="minorHAnsi"/>
          <w:b/>
        </w:rPr>
        <w:t>MiraLAX</w:t>
      </w:r>
      <w:r w:rsidRPr="009D5AD0">
        <w:rPr>
          <w:rFonts w:asciiTheme="minorHAnsi" w:eastAsia="Palatino Linotype" w:hAnsiTheme="minorHAnsi" w:cstheme="minorHAnsi"/>
          <w:b/>
        </w:rPr>
        <w:t xml:space="preserve"> with 64 oz of a sports drink or an electrolyte beverage.  Drink </w:t>
      </w:r>
    </w:p>
    <w:p w14:paraId="686FC825" w14:textId="7F630599" w:rsidR="00A71128" w:rsidRPr="009D5AD0" w:rsidRDefault="005F3649" w:rsidP="00B66260">
      <w:pPr>
        <w:spacing w:after="0" w:line="240" w:lineRule="auto"/>
        <w:ind w:left="716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</w:rPr>
        <w:t xml:space="preserve">8 oz every 10 – 15 minutes until you have finished 32oz of the solution. If you start to feel sick during prep, slow down the rate you are taking the </w:t>
      </w:r>
      <w:r w:rsidR="005B7532" w:rsidRPr="009D5AD0">
        <w:rPr>
          <w:rFonts w:asciiTheme="minorHAnsi" w:eastAsia="Palatino Linotype" w:hAnsiTheme="minorHAnsi" w:cstheme="minorHAnsi"/>
          <w:b/>
        </w:rPr>
        <w:t>MiraLAX i.e.</w:t>
      </w:r>
      <w:r w:rsidRPr="009D5AD0">
        <w:rPr>
          <w:rFonts w:asciiTheme="minorHAnsi" w:eastAsia="Palatino Linotype" w:hAnsiTheme="minorHAnsi" w:cstheme="minorHAnsi"/>
          <w:b/>
        </w:rPr>
        <w:t xml:space="preserve">, take 20-30 min apart) </w:t>
      </w:r>
    </w:p>
    <w:p w14:paraId="235E1C0B" w14:textId="43DA4245" w:rsidR="00A71128" w:rsidRPr="009D5AD0" w:rsidRDefault="005F3649" w:rsidP="004762F8">
      <w:pPr>
        <w:numPr>
          <w:ilvl w:val="0"/>
          <w:numId w:val="1"/>
        </w:numPr>
        <w:spacing w:after="0" w:line="240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</w:rPr>
        <w:t xml:space="preserve">You may have additional clear liquids before going to bed. </w:t>
      </w:r>
    </w:p>
    <w:p w14:paraId="272D3A1E" w14:textId="77777777" w:rsidR="009D5AD0" w:rsidRPr="009D5AD0" w:rsidRDefault="009D5AD0" w:rsidP="009D5AD0">
      <w:pPr>
        <w:spacing w:after="0" w:line="240" w:lineRule="auto"/>
        <w:ind w:left="716"/>
        <w:rPr>
          <w:rFonts w:asciiTheme="minorHAnsi" w:hAnsiTheme="minorHAnsi" w:cstheme="minorHAnsi"/>
        </w:rPr>
      </w:pPr>
    </w:p>
    <w:p w14:paraId="6C669B59" w14:textId="77777777" w:rsidR="004762F8" w:rsidRPr="00307953" w:rsidRDefault="005F3649" w:rsidP="004762F8">
      <w:pPr>
        <w:spacing w:after="0" w:line="24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307953">
        <w:rPr>
          <w:rFonts w:asciiTheme="minorHAnsi" w:eastAsia="Palatino Linotype" w:hAnsiTheme="minorHAnsi" w:cstheme="minorHAnsi"/>
          <w:b/>
          <w:sz w:val="24"/>
          <w:szCs w:val="24"/>
          <w:highlight w:val="yellow"/>
          <w:u w:val="single" w:color="000000"/>
        </w:rPr>
        <w:t>DAY OF COLONOSCOPY</w:t>
      </w:r>
      <w:r w:rsidRPr="00307953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</w:p>
    <w:p w14:paraId="37629EDE" w14:textId="19E81F17" w:rsidR="00A71128" w:rsidRPr="009D5AD0" w:rsidRDefault="00F95BB2" w:rsidP="004762F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Palatino Linotype" w:hAnsiTheme="minorHAnsi" w:cstheme="minorHAnsi"/>
          <w:b/>
        </w:rPr>
        <w:t>Six</w:t>
      </w:r>
      <w:r w:rsidR="005F3649" w:rsidRPr="009D5AD0">
        <w:rPr>
          <w:rFonts w:asciiTheme="minorHAnsi" w:eastAsia="Palatino Linotype" w:hAnsiTheme="minorHAnsi" w:cstheme="minorHAnsi"/>
          <w:b/>
        </w:rPr>
        <w:t xml:space="preserve"> hours prior to your check-in time, drink the</w:t>
      </w:r>
      <w:r w:rsidR="00F60B2E" w:rsidRPr="009D5AD0">
        <w:rPr>
          <w:rFonts w:asciiTheme="minorHAnsi" w:eastAsia="Palatino Linotype" w:hAnsiTheme="minorHAnsi" w:cstheme="minorHAnsi"/>
          <w:b/>
        </w:rPr>
        <w:t xml:space="preserve"> other 32oz of </w:t>
      </w:r>
      <w:r w:rsidR="005B7532" w:rsidRPr="009D5AD0">
        <w:rPr>
          <w:rFonts w:asciiTheme="minorHAnsi" w:eastAsia="Palatino Linotype" w:hAnsiTheme="minorHAnsi" w:cstheme="minorHAnsi"/>
          <w:b/>
        </w:rPr>
        <w:t>MiraLAX</w:t>
      </w:r>
      <w:r w:rsidR="00F60B2E" w:rsidRPr="009D5AD0">
        <w:rPr>
          <w:rFonts w:asciiTheme="minorHAnsi" w:eastAsia="Palatino Linotype" w:hAnsiTheme="minorHAnsi" w:cstheme="minorHAnsi"/>
          <w:b/>
        </w:rPr>
        <w:t xml:space="preserve"> solution the same way you did the night </w:t>
      </w:r>
      <w:r w:rsidR="00675521" w:rsidRPr="009D5AD0">
        <w:rPr>
          <w:rFonts w:asciiTheme="minorHAnsi" w:eastAsia="Palatino Linotype" w:hAnsiTheme="minorHAnsi" w:cstheme="minorHAnsi"/>
          <w:b/>
        </w:rPr>
        <w:t>before.</w:t>
      </w:r>
      <w:r w:rsidR="005F3649" w:rsidRPr="009D5AD0">
        <w:rPr>
          <w:rFonts w:asciiTheme="minorHAnsi" w:eastAsia="Palatino Linotype" w:hAnsiTheme="minorHAnsi" w:cstheme="minorHAnsi"/>
          <w:b/>
        </w:rPr>
        <w:t xml:space="preserve"> </w:t>
      </w:r>
    </w:p>
    <w:p w14:paraId="5D75761A" w14:textId="5B985060" w:rsidR="00A71128" w:rsidRPr="009D5AD0" w:rsidRDefault="005F3649" w:rsidP="004762F8">
      <w:pPr>
        <w:numPr>
          <w:ilvl w:val="0"/>
          <w:numId w:val="1"/>
        </w:numPr>
        <w:spacing w:after="0" w:line="240" w:lineRule="auto"/>
        <w:ind w:hanging="370"/>
        <w:rPr>
          <w:rFonts w:asciiTheme="minorHAnsi" w:hAnsiTheme="minorHAnsi" w:cstheme="minorHAnsi"/>
        </w:rPr>
      </w:pPr>
      <w:r w:rsidRPr="0003142C">
        <w:rPr>
          <w:rFonts w:asciiTheme="minorHAnsi" w:eastAsia="Palatino Linotype" w:hAnsiTheme="minorHAnsi" w:cstheme="minorHAnsi"/>
          <w:b/>
          <w:color w:val="FF0000"/>
          <w:highlight w:val="yellow"/>
        </w:rPr>
        <w:t xml:space="preserve">NO SOLID FOODS </w:t>
      </w:r>
      <w:r w:rsidR="00F60B2E" w:rsidRPr="0003142C">
        <w:rPr>
          <w:rFonts w:asciiTheme="minorHAnsi" w:eastAsia="Palatino Linotype" w:hAnsiTheme="minorHAnsi" w:cstheme="minorHAnsi"/>
          <w:b/>
          <w:color w:val="FF0000"/>
          <w:highlight w:val="yellow"/>
        </w:rPr>
        <w:t xml:space="preserve">UNTIL </w:t>
      </w:r>
      <w:r w:rsidR="005B7532" w:rsidRPr="0003142C">
        <w:rPr>
          <w:rFonts w:asciiTheme="minorHAnsi" w:eastAsia="Palatino Linotype" w:hAnsiTheme="minorHAnsi" w:cstheme="minorHAnsi"/>
          <w:b/>
          <w:color w:val="FF0000"/>
          <w:highlight w:val="yellow"/>
        </w:rPr>
        <w:t>AFTER</w:t>
      </w:r>
      <w:r w:rsidR="005B7532" w:rsidRPr="009D5AD0">
        <w:rPr>
          <w:rFonts w:asciiTheme="minorHAnsi" w:eastAsia="Palatino Linotype" w:hAnsiTheme="minorHAnsi" w:cstheme="minorHAnsi"/>
          <w:b/>
        </w:rPr>
        <w:t>.</w:t>
      </w:r>
      <w:r w:rsidRPr="009D5AD0">
        <w:rPr>
          <w:rFonts w:asciiTheme="minorHAnsi" w:eastAsia="Palatino Linotype" w:hAnsiTheme="minorHAnsi" w:cstheme="minorHAnsi"/>
        </w:rPr>
        <w:t xml:space="preserve"> </w:t>
      </w:r>
      <w:r w:rsidRPr="009D5AD0">
        <w:rPr>
          <w:rFonts w:asciiTheme="minorHAnsi" w:eastAsia="Palatino Linotype" w:hAnsiTheme="minorHAnsi" w:cstheme="minorHAnsi"/>
          <w:b/>
        </w:rPr>
        <w:t xml:space="preserve">You may take your regular medications, unless otherwise directed. </w:t>
      </w:r>
    </w:p>
    <w:p w14:paraId="7E4099E9" w14:textId="2F5AF26A" w:rsidR="00A71128" w:rsidRPr="00D67C8D" w:rsidRDefault="005F3649" w:rsidP="004762F8">
      <w:pPr>
        <w:numPr>
          <w:ilvl w:val="0"/>
          <w:numId w:val="1"/>
        </w:numPr>
        <w:spacing w:after="0" w:line="240" w:lineRule="auto"/>
        <w:ind w:hanging="370"/>
        <w:rPr>
          <w:rFonts w:asciiTheme="minorHAnsi" w:hAnsiTheme="minorHAnsi" w:cstheme="minorHAnsi"/>
        </w:rPr>
      </w:pPr>
      <w:r w:rsidRPr="00D67C8D">
        <w:rPr>
          <w:rFonts w:asciiTheme="minorHAnsi" w:eastAsia="Palatino Linotype" w:hAnsiTheme="minorHAnsi" w:cstheme="minorHAnsi"/>
          <w:b/>
        </w:rPr>
        <w:t>CONTINUE CLEAR LIQUIDS UNTIL</w:t>
      </w:r>
      <w:r w:rsidR="00F95BB2" w:rsidRPr="00D67C8D">
        <w:rPr>
          <w:rFonts w:asciiTheme="minorHAnsi" w:eastAsia="Palatino Linotype" w:hAnsiTheme="minorHAnsi" w:cstheme="minorHAnsi"/>
          <w:b/>
        </w:rPr>
        <w:t xml:space="preserve"> FOUR </w:t>
      </w:r>
      <w:r w:rsidRPr="00D67C8D">
        <w:rPr>
          <w:rFonts w:asciiTheme="minorHAnsi" w:eastAsia="Palatino Linotype" w:hAnsiTheme="minorHAnsi" w:cstheme="minorHAnsi"/>
          <w:b/>
        </w:rPr>
        <w:t>H</w:t>
      </w:r>
      <w:r w:rsidR="00F95BB2" w:rsidRPr="00D67C8D">
        <w:rPr>
          <w:rFonts w:asciiTheme="minorHAnsi" w:eastAsia="Palatino Linotype" w:hAnsiTheme="minorHAnsi" w:cstheme="minorHAnsi"/>
          <w:b/>
        </w:rPr>
        <w:t>OU</w:t>
      </w:r>
      <w:r w:rsidRPr="00D67C8D">
        <w:rPr>
          <w:rFonts w:asciiTheme="minorHAnsi" w:eastAsia="Palatino Linotype" w:hAnsiTheme="minorHAnsi" w:cstheme="minorHAnsi"/>
          <w:b/>
        </w:rPr>
        <w:t xml:space="preserve">RS PRIOR TO CHECK IN TIME.  Do not have anything by mouth after this point, as your stomach must be completely empty. </w:t>
      </w:r>
    </w:p>
    <w:p w14:paraId="0F5D7104" w14:textId="08AD9304" w:rsidR="00A71128" w:rsidRPr="009D5AD0" w:rsidRDefault="005F3649" w:rsidP="004762F8">
      <w:pPr>
        <w:numPr>
          <w:ilvl w:val="0"/>
          <w:numId w:val="1"/>
        </w:numPr>
        <w:spacing w:after="0" w:line="240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</w:rPr>
        <w:t xml:space="preserve">YOU SHOULD BE ABLE TO </w:t>
      </w:r>
      <w:r w:rsidR="00287016" w:rsidRPr="009D5AD0">
        <w:rPr>
          <w:rFonts w:asciiTheme="minorHAnsi" w:eastAsia="Palatino Linotype" w:hAnsiTheme="minorHAnsi" w:cstheme="minorHAnsi"/>
          <w:b/>
        </w:rPr>
        <w:t>SEE</w:t>
      </w:r>
      <w:r w:rsidRPr="009D5AD0">
        <w:rPr>
          <w:rFonts w:asciiTheme="minorHAnsi" w:eastAsia="Palatino Linotype" w:hAnsiTheme="minorHAnsi" w:cstheme="minorHAnsi"/>
          <w:b/>
        </w:rPr>
        <w:t xml:space="preserve"> THE BOTTOM OF THE TOILET BOWL DURING THE LAST COUPLE OF BOWEL MOVEMENTS BEFORE CHECKING IN TO YOUR PROCEDURE.  </w:t>
      </w:r>
    </w:p>
    <w:p w14:paraId="1B027616" w14:textId="77777777" w:rsidR="009D5AD0" w:rsidRPr="009D5AD0" w:rsidRDefault="009D5AD0" w:rsidP="009D5AD0">
      <w:pPr>
        <w:spacing w:after="0" w:line="240" w:lineRule="auto"/>
        <w:ind w:left="716"/>
        <w:rPr>
          <w:rFonts w:asciiTheme="minorHAnsi" w:hAnsiTheme="minorHAnsi" w:cstheme="minorHAnsi"/>
        </w:rPr>
      </w:pPr>
    </w:p>
    <w:p w14:paraId="0EC55330" w14:textId="0D1B5DB4" w:rsidR="00A71128" w:rsidRDefault="005F3649" w:rsidP="00F60B2E">
      <w:pPr>
        <w:spacing w:after="0" w:line="240" w:lineRule="auto"/>
        <w:jc w:val="center"/>
        <w:rPr>
          <w:rFonts w:asciiTheme="minorHAnsi" w:eastAsia="Palatino Linotype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</w:rPr>
        <w:t>*If biopsies are done during your procedure</w:t>
      </w:r>
      <w:r w:rsidRPr="009D5AD0">
        <w:rPr>
          <w:rFonts w:asciiTheme="minorHAnsi" w:eastAsia="Palatino Linotype" w:hAnsiTheme="minorHAnsi" w:cstheme="minorHAnsi"/>
        </w:rPr>
        <w:t xml:space="preserve">, </w:t>
      </w:r>
      <w:r w:rsidRPr="009D5AD0">
        <w:rPr>
          <w:rFonts w:asciiTheme="minorHAnsi" w:eastAsia="Palatino Linotype" w:hAnsiTheme="minorHAnsi" w:cstheme="minorHAnsi"/>
          <w:b/>
        </w:rPr>
        <w:t>please allow 10 business days for results</w:t>
      </w:r>
      <w:r w:rsidRPr="009D5AD0">
        <w:rPr>
          <w:rFonts w:asciiTheme="minorHAnsi" w:eastAsia="Palatino Linotype" w:hAnsiTheme="minorHAnsi" w:cstheme="minorHAnsi"/>
        </w:rPr>
        <w:t>*</w:t>
      </w:r>
    </w:p>
    <w:p w14:paraId="6DE67CD5" w14:textId="77777777" w:rsidR="009D5AD0" w:rsidRPr="009D5AD0" w:rsidRDefault="009D5AD0" w:rsidP="00F60B2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3151CC6" w14:textId="63763104" w:rsidR="00A71128" w:rsidRPr="009D5AD0" w:rsidRDefault="005B7532" w:rsidP="004762F8">
      <w:pPr>
        <w:spacing w:after="0" w:line="240" w:lineRule="auto"/>
        <w:ind w:left="40" w:hanging="10"/>
        <w:jc w:val="center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  <w:u w:val="single" w:color="000000"/>
        </w:rPr>
        <w:t>72-hour</w:t>
      </w:r>
      <w:r w:rsidR="005F3649" w:rsidRPr="009D5AD0">
        <w:rPr>
          <w:rFonts w:asciiTheme="minorHAnsi" w:eastAsia="Palatino Linotype" w:hAnsiTheme="minorHAnsi" w:cstheme="minorHAnsi"/>
          <w:b/>
          <w:u w:val="single" w:color="000000"/>
        </w:rPr>
        <w:t xml:space="preserve"> notice for cancellation or reschedule</w:t>
      </w:r>
      <w:r w:rsidR="005F3649" w:rsidRPr="009D5AD0">
        <w:rPr>
          <w:rFonts w:asciiTheme="minorHAnsi" w:eastAsia="Palatino Linotype" w:hAnsiTheme="minorHAnsi" w:cstheme="minorHAnsi"/>
          <w:b/>
        </w:rPr>
        <w:t xml:space="preserve"> </w:t>
      </w:r>
    </w:p>
    <w:p w14:paraId="047B7707" w14:textId="459D091E" w:rsidR="00114754" w:rsidRPr="009D5AD0" w:rsidRDefault="005B7532" w:rsidP="00F36FBB">
      <w:pPr>
        <w:spacing w:after="0" w:line="240" w:lineRule="auto"/>
        <w:ind w:left="40" w:right="5" w:hanging="10"/>
        <w:jc w:val="center"/>
        <w:rPr>
          <w:rFonts w:asciiTheme="minorHAnsi" w:eastAsia="Palatino Linotype" w:hAnsiTheme="minorHAnsi" w:cstheme="minorHAnsi"/>
          <w:b/>
        </w:rPr>
      </w:pPr>
      <w:r w:rsidRPr="009D5AD0">
        <w:rPr>
          <w:rFonts w:asciiTheme="minorHAnsi" w:eastAsia="Palatino Linotype" w:hAnsiTheme="minorHAnsi" w:cstheme="minorHAnsi"/>
          <w:b/>
          <w:u w:val="single" w:color="000000"/>
        </w:rPr>
        <w:t>Holidays</w:t>
      </w:r>
      <w:r w:rsidR="005F3649" w:rsidRPr="009D5AD0">
        <w:rPr>
          <w:rFonts w:asciiTheme="minorHAnsi" w:eastAsia="Palatino Linotype" w:hAnsiTheme="minorHAnsi" w:cstheme="minorHAnsi"/>
          <w:b/>
          <w:u w:val="single" w:color="000000"/>
        </w:rPr>
        <w:t xml:space="preserve"> or weekends DO NOT count for the 72 </w:t>
      </w:r>
      <w:r w:rsidR="00675521" w:rsidRPr="009D5AD0">
        <w:rPr>
          <w:rFonts w:asciiTheme="minorHAnsi" w:eastAsia="Palatino Linotype" w:hAnsiTheme="minorHAnsi" w:cstheme="minorHAnsi"/>
          <w:b/>
          <w:u w:val="single" w:color="000000"/>
        </w:rPr>
        <w:t>Hours,</w:t>
      </w:r>
      <w:r w:rsidR="005F3649" w:rsidRPr="009D5AD0">
        <w:rPr>
          <w:rFonts w:asciiTheme="minorHAnsi" w:eastAsia="Palatino Linotype" w:hAnsiTheme="minorHAnsi" w:cstheme="minorHAnsi"/>
          <w:b/>
          <w:u w:val="single" w:color="000000"/>
        </w:rPr>
        <w:t xml:space="preserve"> and you MUST call our office 520-3</w:t>
      </w:r>
      <w:r w:rsidR="00802B04">
        <w:rPr>
          <w:rFonts w:asciiTheme="minorHAnsi" w:eastAsia="Palatino Linotype" w:hAnsiTheme="minorHAnsi" w:cstheme="minorHAnsi"/>
          <w:b/>
          <w:u w:val="single" w:color="000000"/>
        </w:rPr>
        <w:t>66-0300</w:t>
      </w:r>
    </w:p>
    <w:sectPr w:rsidR="00114754" w:rsidRPr="009D5AD0" w:rsidSect="006E66A1">
      <w:head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2086" w14:textId="77777777" w:rsidR="000D6C7D" w:rsidRDefault="000D6C7D" w:rsidP="004762F8">
      <w:pPr>
        <w:spacing w:after="0" w:line="240" w:lineRule="auto"/>
      </w:pPr>
      <w:r>
        <w:separator/>
      </w:r>
    </w:p>
  </w:endnote>
  <w:endnote w:type="continuationSeparator" w:id="0">
    <w:p w14:paraId="0651B779" w14:textId="77777777" w:rsidR="000D6C7D" w:rsidRDefault="000D6C7D" w:rsidP="0047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26A5" w14:textId="77777777" w:rsidR="000D6C7D" w:rsidRDefault="000D6C7D" w:rsidP="004762F8">
      <w:pPr>
        <w:spacing w:after="0" w:line="240" w:lineRule="auto"/>
      </w:pPr>
      <w:r>
        <w:separator/>
      </w:r>
    </w:p>
  </w:footnote>
  <w:footnote w:type="continuationSeparator" w:id="0">
    <w:p w14:paraId="4675E10C" w14:textId="77777777" w:rsidR="000D6C7D" w:rsidRDefault="000D6C7D" w:rsidP="0047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465A" w14:textId="2452C7DD" w:rsidR="004762F8" w:rsidRPr="0064110D" w:rsidRDefault="004762F8" w:rsidP="004762F8">
    <w:pPr>
      <w:tabs>
        <w:tab w:val="right" w:pos="10772"/>
      </w:tabs>
      <w:spacing w:after="26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3A1321" wp14:editId="13FC9E3A">
              <wp:simplePos x="0" y="0"/>
              <wp:positionH relativeFrom="margin">
                <wp:posOffset>-120650</wp:posOffset>
              </wp:positionH>
              <wp:positionV relativeFrom="page">
                <wp:posOffset>683895</wp:posOffset>
              </wp:positionV>
              <wp:extent cx="6894195" cy="5715"/>
              <wp:effectExtent l="0" t="0" r="0" b="0"/>
              <wp:wrapTopAndBottom/>
              <wp:docPr id="710" name="Group 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4195" cy="5715"/>
                        <a:chOff x="0" y="0"/>
                        <a:chExt cx="6894576" cy="6096"/>
                      </a:xfrm>
                    </wpg:grpSpPr>
                    <wps:wsp>
                      <wps:cNvPr id="986" name="Shape 986"/>
                      <wps:cNvSpPr/>
                      <wps:spPr>
                        <a:xfrm>
                          <a:off x="0" y="0"/>
                          <a:ext cx="6894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4576" h="9144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  <a:lnTo>
                                <a:pt x="6894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A44624" id="Group 710" o:spid="_x0000_s1026" style="position:absolute;margin-left:-9.5pt;margin-top:53.85pt;width:542.85pt;height:.45pt;z-index:251659264;mso-position-horizontal-relative:margin;mso-position-vertical-relative:page" coordsize="689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">
              <v:shape id="Shape 986" o:spid="_x0000_s1027" style="position:absolute;width:68945;height:91;visibility:visible;mso-wrap-style:square;v-text-anchor:top" coordsize="6894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y68QA&#10;AADcAAAADwAAAGRycy9kb3ducmV2LnhtbESPT2sCMRTE74LfITyhN81aRHa3RhGl0GutCN5eN2//&#10;YPKyJNHd9tM3hUKPw8z8htnsRmvEg3zoHCtYLjIQxJXTHTcKzh+v8xxEiMgajWNS8EUBdtvpZIOl&#10;dgO/0+MUG5EgHEpU0MbYl1KGqiWLYeF64uTVzluMSfpGao9Dglsjn7NsLS12nBZa7OnQUnU73a2C&#10;wfjC3M9DXV+Ly6r4dN+3VX5U6mk27l9ARBrjf/iv/aYVFPka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F8uvEAAAA3AAAAA8AAAAAAAAAAAAAAAAAmAIAAGRycy9k&#10;b3ducmV2LnhtbFBLBQYAAAAABAAEAPUAAACJAwAAAAA=&#10;" path="m,l6894576,r,9144l,9144,,e" fillcolor="black" stroked="f" strokeweight="0">
                <v:stroke miterlimit="83231f" joinstyle="miter"/>
                <v:path arrowok="t" textboxrect="0,0,6894576,9144"/>
              </v:shape>
              <w10:wrap type="topAndBottom" anchorx="margin" anchory="pag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28"/>
      </w:rPr>
      <w:t>Copper Queen Community Hospital</w:t>
    </w:r>
    <w:r>
      <w:rPr>
        <w:rFonts w:ascii="Book Antiqua" w:eastAsia="Book Antiqua" w:hAnsi="Book Antiqua" w:cs="Book Antiqua"/>
        <w:sz w:val="18"/>
      </w:rPr>
      <w:t xml:space="preserve"> </w:t>
    </w:r>
    <w:r>
      <w:rPr>
        <w:rFonts w:ascii="Book Antiqua" w:eastAsia="Book Antiqua" w:hAnsi="Book Antiqua" w:cs="Book Antiqua"/>
        <w:sz w:val="18"/>
      </w:rPr>
      <w:tab/>
    </w:r>
    <w:r w:rsidRPr="0064110D">
      <w:rPr>
        <w:rFonts w:ascii="Book Antiqua" w:eastAsia="Book Antiqua" w:hAnsi="Book Antiqua" w:cs="Book Antiqua"/>
        <w:sz w:val="20"/>
        <w:szCs w:val="20"/>
      </w:rPr>
      <w:t xml:space="preserve">                                </w:t>
    </w:r>
    <w:r w:rsidRPr="0064110D">
      <w:rPr>
        <w:rFonts w:ascii="Book Antiqua" w:eastAsia="Book Antiqua" w:hAnsi="Book Antiqua" w:cs="Book Antiqua"/>
        <w:b/>
        <w:sz w:val="20"/>
        <w:szCs w:val="20"/>
      </w:rPr>
      <w:t>Dr. Suzanne Daly</w:t>
    </w:r>
    <w:r w:rsidR="0064110D" w:rsidRPr="0064110D">
      <w:rPr>
        <w:rFonts w:ascii="Book Antiqua" w:eastAsia="Book Antiqua" w:hAnsi="Book Antiqua" w:cs="Book Antiqua"/>
        <w:b/>
        <w:sz w:val="20"/>
        <w:szCs w:val="20"/>
      </w:rPr>
      <w:t xml:space="preserve"> /</w:t>
    </w:r>
    <w:r w:rsidR="0064110D">
      <w:rPr>
        <w:rFonts w:ascii="Book Antiqua" w:eastAsia="Book Antiqua" w:hAnsi="Book Antiqua" w:cs="Book Antiqua"/>
        <w:b/>
        <w:sz w:val="20"/>
        <w:szCs w:val="20"/>
      </w:rPr>
      <w:t xml:space="preserve"> </w:t>
    </w:r>
    <w:r w:rsidR="0064110D" w:rsidRPr="0064110D">
      <w:rPr>
        <w:rFonts w:ascii="Book Antiqua" w:eastAsia="Book Antiqua" w:hAnsi="Book Antiqua" w:cs="Book Antiqua"/>
        <w:b/>
        <w:sz w:val="20"/>
        <w:szCs w:val="20"/>
      </w:rPr>
      <w:t>Vinod Singh</w:t>
    </w:r>
    <w:r w:rsidRPr="0064110D">
      <w:rPr>
        <w:rFonts w:ascii="Book Antiqua" w:eastAsia="Book Antiqua" w:hAnsi="Book Antiqua" w:cs="Book Antiqua"/>
        <w:b/>
        <w:sz w:val="20"/>
        <w:szCs w:val="20"/>
      </w:rPr>
      <w:t xml:space="preserve"> </w:t>
    </w:r>
  </w:p>
  <w:p w14:paraId="5F29AF7A" w14:textId="65ECEEBD" w:rsidR="004762F8" w:rsidRDefault="004762F8" w:rsidP="004762F8">
    <w:pPr>
      <w:spacing w:before="37" w:after="0"/>
      <w:ind w:left="-5" w:hanging="10"/>
    </w:pPr>
    <w:r>
      <w:rPr>
        <w:rFonts w:ascii="Book Antiqua" w:eastAsia="Book Antiqua" w:hAnsi="Book Antiqua" w:cs="Book Antiqua"/>
        <w:b/>
        <w:sz w:val="18"/>
      </w:rPr>
      <w:t xml:space="preserve">101 Cole Avenue, Bisbee, </w:t>
    </w:r>
    <w:r w:rsidR="0064110D">
      <w:rPr>
        <w:rFonts w:ascii="Book Antiqua" w:eastAsia="Book Antiqua" w:hAnsi="Book Antiqua" w:cs="Book Antiqua"/>
        <w:b/>
        <w:sz w:val="18"/>
      </w:rPr>
      <w:t>Az 85603</w:t>
    </w:r>
    <w:r>
      <w:rPr>
        <w:rFonts w:ascii="Book Antiqua" w:eastAsia="Book Antiqua" w:hAnsi="Book Antiqua" w:cs="Book Antiqua"/>
        <w:b/>
        <w:sz w:val="18"/>
      </w:rPr>
      <w:t xml:space="preserve"> </w:t>
    </w:r>
  </w:p>
  <w:p w14:paraId="5D3DD1C8" w14:textId="4C035C07" w:rsidR="004762F8" w:rsidRPr="00245610" w:rsidRDefault="004762F8" w:rsidP="00245610">
    <w:pPr>
      <w:spacing w:after="37"/>
      <w:ind w:left="-5" w:hanging="10"/>
      <w:rPr>
        <w:rFonts w:ascii="Book Antiqua" w:eastAsia="Book Antiqua" w:hAnsi="Book Antiqua" w:cs="Book Antiqua"/>
        <w:b/>
        <w:sz w:val="18"/>
      </w:rPr>
    </w:pPr>
    <w:r>
      <w:rPr>
        <w:rFonts w:ascii="Book Antiqua" w:eastAsia="Book Antiqua" w:hAnsi="Book Antiqua" w:cs="Book Antiqua"/>
        <w:b/>
        <w:sz w:val="18"/>
      </w:rPr>
      <w:t xml:space="preserve">Phone: (520) </w:t>
    </w:r>
    <w:r w:rsidR="00245610">
      <w:rPr>
        <w:rFonts w:ascii="Book Antiqua" w:eastAsia="Book Antiqua" w:hAnsi="Book Antiqua" w:cs="Book Antiqua"/>
        <w:b/>
        <w:sz w:val="18"/>
      </w:rPr>
      <w:t>366-0300</w:t>
    </w:r>
    <w:r>
      <w:rPr>
        <w:rFonts w:ascii="Book Antiqua" w:eastAsia="Book Antiqua" w:hAnsi="Book Antiqua" w:cs="Book Antiqua"/>
        <w:b/>
        <w:sz w:val="18"/>
      </w:rPr>
      <w:t xml:space="preserve"> </w:t>
    </w:r>
  </w:p>
  <w:p w14:paraId="27A5C62A" w14:textId="77777777" w:rsidR="004762F8" w:rsidRDefault="00476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B23"/>
    <w:multiLevelType w:val="hybridMultilevel"/>
    <w:tmpl w:val="C2941C7C"/>
    <w:lvl w:ilvl="0" w:tplc="4636F3DA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092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CA4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AFD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2B4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7C7F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A15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468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88B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90949"/>
    <w:multiLevelType w:val="hybridMultilevel"/>
    <w:tmpl w:val="1E1442B8"/>
    <w:lvl w:ilvl="0" w:tplc="FAC84EE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468090071">
    <w:abstractNumId w:val="0"/>
  </w:num>
  <w:num w:numId="2" w16cid:durableId="195273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28"/>
    <w:rsid w:val="00005069"/>
    <w:rsid w:val="0002512C"/>
    <w:rsid w:val="000301D3"/>
    <w:rsid w:val="0003142C"/>
    <w:rsid w:val="00047212"/>
    <w:rsid w:val="000757B5"/>
    <w:rsid w:val="00086371"/>
    <w:rsid w:val="00093DB9"/>
    <w:rsid w:val="000B6DBA"/>
    <w:rsid w:val="000D6C7D"/>
    <w:rsid w:val="000E5589"/>
    <w:rsid w:val="000F2EE3"/>
    <w:rsid w:val="00100089"/>
    <w:rsid w:val="00110EFA"/>
    <w:rsid w:val="00114754"/>
    <w:rsid w:val="00146B30"/>
    <w:rsid w:val="001648B7"/>
    <w:rsid w:val="001B2EAC"/>
    <w:rsid w:val="001C262E"/>
    <w:rsid w:val="001C3396"/>
    <w:rsid w:val="001F05CB"/>
    <w:rsid w:val="00245610"/>
    <w:rsid w:val="00245831"/>
    <w:rsid w:val="00287016"/>
    <w:rsid w:val="002B6BFB"/>
    <w:rsid w:val="002F219E"/>
    <w:rsid w:val="00307953"/>
    <w:rsid w:val="003173B8"/>
    <w:rsid w:val="0033040F"/>
    <w:rsid w:val="0033340E"/>
    <w:rsid w:val="0039236A"/>
    <w:rsid w:val="0041234A"/>
    <w:rsid w:val="004762F8"/>
    <w:rsid w:val="00484F1F"/>
    <w:rsid w:val="00497EDF"/>
    <w:rsid w:val="004B278F"/>
    <w:rsid w:val="004D08E9"/>
    <w:rsid w:val="00503404"/>
    <w:rsid w:val="00594835"/>
    <w:rsid w:val="005B158E"/>
    <w:rsid w:val="005B7532"/>
    <w:rsid w:val="005C7FDF"/>
    <w:rsid w:val="005F3649"/>
    <w:rsid w:val="0064110D"/>
    <w:rsid w:val="00675521"/>
    <w:rsid w:val="0068402C"/>
    <w:rsid w:val="006A52F3"/>
    <w:rsid w:val="006B65B4"/>
    <w:rsid w:val="006C74AB"/>
    <w:rsid w:val="006E66A1"/>
    <w:rsid w:val="00747814"/>
    <w:rsid w:val="00771950"/>
    <w:rsid w:val="00792EB3"/>
    <w:rsid w:val="00793453"/>
    <w:rsid w:val="00802B04"/>
    <w:rsid w:val="008B0EB0"/>
    <w:rsid w:val="008B26F6"/>
    <w:rsid w:val="008B7701"/>
    <w:rsid w:val="008D6F7E"/>
    <w:rsid w:val="00904CA7"/>
    <w:rsid w:val="00935B46"/>
    <w:rsid w:val="00944B90"/>
    <w:rsid w:val="00950C3E"/>
    <w:rsid w:val="009D5AD0"/>
    <w:rsid w:val="00A03C19"/>
    <w:rsid w:val="00A512F0"/>
    <w:rsid w:val="00A71128"/>
    <w:rsid w:val="00A810CA"/>
    <w:rsid w:val="00A86B68"/>
    <w:rsid w:val="00AD0ABF"/>
    <w:rsid w:val="00AF71A3"/>
    <w:rsid w:val="00B00A61"/>
    <w:rsid w:val="00B03289"/>
    <w:rsid w:val="00B450F4"/>
    <w:rsid w:val="00B56E87"/>
    <w:rsid w:val="00B66260"/>
    <w:rsid w:val="00BD4884"/>
    <w:rsid w:val="00BD77D3"/>
    <w:rsid w:val="00BE7B5B"/>
    <w:rsid w:val="00BF6D06"/>
    <w:rsid w:val="00C1739C"/>
    <w:rsid w:val="00C36DED"/>
    <w:rsid w:val="00C83311"/>
    <w:rsid w:val="00D209DC"/>
    <w:rsid w:val="00D23393"/>
    <w:rsid w:val="00D67C8D"/>
    <w:rsid w:val="00D918C0"/>
    <w:rsid w:val="00D94FE8"/>
    <w:rsid w:val="00DE3F90"/>
    <w:rsid w:val="00DF4D62"/>
    <w:rsid w:val="00E7780C"/>
    <w:rsid w:val="00E850D8"/>
    <w:rsid w:val="00EA4776"/>
    <w:rsid w:val="00F36FBB"/>
    <w:rsid w:val="00F41864"/>
    <w:rsid w:val="00F46B15"/>
    <w:rsid w:val="00F60B2E"/>
    <w:rsid w:val="00F95BB2"/>
    <w:rsid w:val="00FE22CC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B965"/>
  <w15:docId w15:val="{AE23E5A1-B145-4E16-B60D-52CEFAFA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F8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F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497</Words>
  <Characters>2534</Characters>
  <Application>Microsoft Office Word</Application>
  <DocSecurity>0</DocSecurity>
  <Lines>90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cp:lastModifiedBy>Jannaee Aguilar</cp:lastModifiedBy>
  <cp:revision>10</cp:revision>
  <cp:lastPrinted>2023-07-24T21:57:00Z</cp:lastPrinted>
  <dcterms:created xsi:type="dcterms:W3CDTF">2024-12-11T21:01:00Z</dcterms:created>
  <dcterms:modified xsi:type="dcterms:W3CDTF">2025-10-30T18:01:00Z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945ed9-46de-4b7a-98ce-c4d5af6bd9f2_Enabled">
    <vt:lpwstr>true</vt:lpwstr>
  </property>
  <property fmtid="{D5CDD505-2E9C-101B-9397-08002B2CF9AE}" pid="3" name="MSIP_Label_b8945ed9-46de-4b7a-98ce-c4d5af6bd9f2_SetDate">
    <vt:lpwstr>2023-11-28T22:59:37Z</vt:lpwstr>
  </property>
  <property fmtid="{D5CDD505-2E9C-101B-9397-08002B2CF9AE}" pid="4" name="MSIP_Label_b8945ed9-46de-4b7a-98ce-c4d5af6bd9f2_Method">
    <vt:lpwstr>Standard</vt:lpwstr>
  </property>
  <property fmtid="{D5CDD505-2E9C-101B-9397-08002B2CF9AE}" pid="5" name="MSIP_Label_b8945ed9-46de-4b7a-98ce-c4d5af6bd9f2_Name">
    <vt:lpwstr>defa4170-0d19-0005-0004-bc88714345d2</vt:lpwstr>
  </property>
  <property fmtid="{D5CDD505-2E9C-101B-9397-08002B2CF9AE}" pid="6" name="MSIP_Label_b8945ed9-46de-4b7a-98ce-c4d5af6bd9f2_SiteId">
    <vt:lpwstr>a58651e5-d6e2-458a-a809-a68b84a53e84</vt:lpwstr>
  </property>
  <property fmtid="{D5CDD505-2E9C-101B-9397-08002B2CF9AE}" pid="7" name="MSIP_Label_b8945ed9-46de-4b7a-98ce-c4d5af6bd9f2_ActionId">
    <vt:lpwstr>bd9dbf7f-3c02-4007-8d28-072a8c09d16c</vt:lpwstr>
  </property>
  <property fmtid="{D5CDD505-2E9C-101B-9397-08002B2CF9AE}" pid="8" name="MSIP_Label_b8945ed9-46de-4b7a-98ce-c4d5af6bd9f2_ContentBits">
    <vt:lpwstr>0</vt:lpwstr>
  </property>
</Properties>
</file>